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5074"/>
        <w:gridCol w:w="5074"/>
      </w:tblGrid>
      <w:tr>
        <w:tc>
          <w:tcPr>
            <w:tcW w:type="dxa" w:w="8391"/>
            <w:shd w:fill="F4F1EA"/>
            <w:tcMar>
              <w:top w:w="150" w:type="dxa"/>
              <w:start w:w="220" w:type="dxa"/>
              <w:bottom w:w="150" w:type="dxa"/>
              <w:end w:w="220" w:type="dxa"/>
            </w:tcMar>
            <w:vAlign w:val="center"/>
          </w:tcPr>
          <w:p>
            <w:pPr>
              <w:spacing w:after="40" w:before="0" w:line="240" w:lineRule="auto"/>
            </w:pPr>
            <w:r>
              <w:rPr>
                <w:rFonts w:ascii="Microsoft YaHei" w:hAnsi="Microsoft YaHei" w:eastAsia="Microsoft YaHei"/>
                <w:b/>
                <w:color w:val="17211E"/>
                <w:sz w:val="52"/>
              </w:rPr>
              <w:t>宋明昊</w:t>
            </w:r>
          </w:p>
          <w:p>
            <w:pPr>
              <w:spacing w:after="100" w:before="0" w:line="240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>SONG MINGHAO  ·  ACADEMIC CURRICULUM VITAE</w:t>
            </w:r>
          </w:p>
          <w:p>
            <w:pPr>
              <w:spacing w:after="20" w:before="0" w:line="288" w:lineRule="auto"/>
            </w:pPr>
            <w:r>
              <w:rPr>
                <w:rFonts w:ascii="Microsoft YaHei" w:hAnsi="Microsoft YaHei" w:eastAsia="Microsoft YaHei"/>
                <w:b/>
                <w:color w:val="17211E"/>
                <w:sz w:val="20"/>
              </w:rPr>
              <w:t>湖北大学哲学学院｜马克思主义哲学博士研究生</w:t>
            </w:r>
          </w:p>
          <w:p>
            <w:pPr>
              <w:spacing w:after="0" w:before="0" w:line="276" w:lineRule="auto"/>
            </w:pPr>
            <w:r>
              <w:rPr>
                <w:rFonts w:ascii="Microsoft YaHei" w:hAnsi="Microsoft YaHei" w:eastAsia="Microsoft YaHei"/>
                <w:b w:val="0"/>
                <w:color w:val="5F6863"/>
                <w:sz w:val="17"/>
              </w:rPr>
              <w:t>研究：马克思主义哲学 · 西方马克思主义国家理论 · 数字资本主义 · 人工智能伦理</w:t>
            </w:r>
          </w:p>
          <w:p>
            <w:pPr>
              <w:spacing w:after="0" w:before="80" w:line="240" w:lineRule="auto"/>
            </w:pPr>
            <w:r>
              <w:rPr>
                <w:rFonts w:ascii="Arial" w:hAnsi="Arial" w:eastAsia="Arial"/>
                <w:b/>
                <w:color w:val="697D70"/>
                <w:sz w:val="17"/>
              </w:rPr>
              <w:t>E  kingsleysong@foxmail.com</w:t>
            </w:r>
          </w:p>
        </w:tc>
        <w:tc>
          <w:tcPr>
            <w:tcW w:type="dxa" w:w="1701"/>
            <w:shd w:fill="F4F1EA"/>
            <w:tcMar>
              <w:top w:w="150" w:type="dxa"/>
              <w:start w:w="220" w:type="dxa"/>
              <w:bottom w:w="150" w:type="dxa"/>
              <w:end w:w="220" w:type="dxa"/>
            </w:tcMar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954000" cy="10800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00" cy="1080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01  </w:t>
      </w:r>
      <w:r>
        <w:rPr>
          <w:rFonts w:ascii="Microsoft YaHei" w:hAnsi="Microsoft YaHei" w:eastAsia="Microsoft YaHei"/>
          <w:b/>
          <w:color w:val="17211E"/>
          <w:sz w:val="26"/>
        </w:rPr>
        <w:t>个人简介 / PROFILE</w:t>
      </w:r>
    </w:p>
    <w:p>
      <w:pPr>
        <w:spacing w:after="30" w:before="0" w:line="324" w:lineRule="auto"/>
      </w:pPr>
      <w:r>
        <w:rPr>
          <w:rFonts w:ascii="Microsoft YaHei" w:hAnsi="Microsoft YaHei" w:eastAsia="Microsoft YaHei"/>
          <w:b w:val="0"/>
          <w:color w:val="5F6863"/>
          <w:sz w:val="18"/>
        </w:rPr>
        <w:t>具有经济学、马克思主义理论与马克思主义哲学的复合学术背景，主要围绕国家、资本与技术的关系开展研究。当前博士研究聚焦尼科斯·普兰查斯政治哲学及其权力逻辑，同时关注数字资本主义、算法权力、人工智能伦理及思想政治理论课教学改革。注重以经典理论回应当代技术与社会问题。</w:t>
      </w:r>
    </w:p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02  </w:t>
      </w:r>
      <w:r>
        <w:rPr>
          <w:rFonts w:ascii="Microsoft YaHei" w:hAnsi="Microsoft YaHei" w:eastAsia="Microsoft YaHei"/>
          <w:b/>
          <w:color w:val="17211E"/>
          <w:sz w:val="26"/>
        </w:rPr>
        <w:t>教育经历 / EDUCATION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湖北大学 · 哲学学院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马克思主义哲学博士研究生｜2022.09—预计2027年春季</w:t>
      </w:r>
      <w:r>
        <w:rPr>
          <w:rFonts w:ascii="Microsoft YaHei" w:hAnsi="Microsoft YaHei" w:eastAsia="Microsoft YaHei"/>
          <w:b w:val="0"/>
          <w:color w:val="5F6863"/>
          <w:sz w:val="17"/>
        </w:rPr>
        <w:br/>
        <w:t>导师：余卫东教授。博士论文：《尼科斯·普兰查斯政治哲学思想研究——权力逻辑的结构与实践》。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三峡大学 · 马克思主义学院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马克思主义理论｜法学硕士｜2019.09—2022.06</w:t>
      </w:r>
      <w:r>
        <w:rPr>
          <w:rFonts w:ascii="Microsoft YaHei" w:hAnsi="Microsoft YaHei" w:eastAsia="Microsoft YaHei"/>
          <w:b w:val="0"/>
          <w:color w:val="5F6863"/>
          <w:sz w:val="17"/>
        </w:rPr>
        <w:br/>
        <w:t>导师：胡孝红教授。硕士论文：《高校新闻舆论工作政治导向研究》。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上海师范大学 · 商学院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经济学学士｜2010.09—2014.07</w:t>
      </w:r>
    </w:p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03  </w:t>
      </w:r>
      <w:r>
        <w:rPr>
          <w:rFonts w:ascii="Microsoft YaHei" w:hAnsi="Microsoft YaHei" w:eastAsia="Microsoft YaHei"/>
          <w:b/>
          <w:color w:val="17211E"/>
          <w:sz w:val="26"/>
        </w:rPr>
        <w:t>研究方向 / RESEARCH INTERESTS</w:t>
      </w:r>
    </w:p>
    <w:p>
      <w:pPr>
        <w:spacing w:after="20" w:before="0" w:line="276" w:lineRule="auto"/>
      </w:pPr>
      <w:r>
        <w:rPr>
          <w:rFonts w:ascii="Microsoft YaHei" w:hAnsi="Microsoft YaHei" w:eastAsia="Microsoft YaHei"/>
          <w:b/>
          <w:color w:val="17211E"/>
          <w:sz w:val="17"/>
        </w:rPr>
        <w:t>马克思主义哲学</w:t>
      </w:r>
      <w:r>
        <w:rPr>
          <w:rFonts w:ascii="Arial" w:hAnsi="Arial" w:eastAsia="Arial"/>
          <w:b w:val="0"/>
          <w:color w:val="CFC9BE"/>
          <w:sz w:val="16"/>
        </w:rPr>
        <w:t xml:space="preserve">   /   </w:t>
      </w:r>
      <w:r>
        <w:rPr>
          <w:rFonts w:ascii="Microsoft YaHei" w:hAnsi="Microsoft YaHei" w:eastAsia="Microsoft YaHei"/>
          <w:b/>
          <w:color w:val="17211E"/>
          <w:sz w:val="17"/>
        </w:rPr>
        <w:t>西方马克思主义国家理论</w:t>
      </w:r>
      <w:r>
        <w:rPr>
          <w:rFonts w:ascii="Arial" w:hAnsi="Arial" w:eastAsia="Arial"/>
          <w:b w:val="0"/>
          <w:color w:val="CFC9BE"/>
          <w:sz w:val="16"/>
        </w:rPr>
        <w:t xml:space="preserve">   /   </w:t>
      </w:r>
      <w:r>
        <w:rPr>
          <w:rFonts w:ascii="Microsoft YaHei" w:hAnsi="Microsoft YaHei" w:eastAsia="Microsoft YaHei"/>
          <w:b/>
          <w:color w:val="17211E"/>
          <w:sz w:val="17"/>
        </w:rPr>
        <w:t>数字资本主义与劳动批判</w:t>
      </w:r>
      <w:r>
        <w:rPr>
          <w:rFonts w:ascii="Arial" w:hAnsi="Arial" w:eastAsia="Arial"/>
          <w:b w:val="0"/>
          <w:color w:val="CFC9BE"/>
          <w:sz w:val="16"/>
        </w:rPr>
        <w:t xml:space="preserve">   /   </w:t>
      </w:r>
      <w:r>
        <w:rPr>
          <w:rFonts w:ascii="Microsoft YaHei" w:hAnsi="Microsoft YaHei" w:eastAsia="Microsoft YaHei"/>
          <w:b/>
          <w:color w:val="17211E"/>
          <w:sz w:val="17"/>
        </w:rPr>
        <w:t>算法权力与人工智能伦理</w:t>
      </w:r>
    </w:p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04  </w:t>
      </w:r>
      <w:r>
        <w:rPr>
          <w:rFonts w:ascii="Microsoft YaHei" w:hAnsi="Microsoft YaHei" w:eastAsia="Microsoft YaHei"/>
          <w:b/>
          <w:color w:val="17211E"/>
          <w:sz w:val="26"/>
        </w:rPr>
        <w:t>已发表成果 / PUBLICATIONS</w:t>
      </w:r>
    </w:p>
    <w:tbl>
      <w:tblPr>
        <w:tblW w:type="auto" w:w="0"/>
        <w:jc w:val="left"/>
        <w:tblLayout w:type="fixed"/>
        <w:tblLook w:firstColumn="1" w:firstRow="1" w:lastColumn="0" w:lastRow="0" w:noHBand="0" w:noVBand="1" w:val="04A0"/>
      </w:tblPr>
      <w:tblGrid>
        <w:gridCol w:w="369"/>
        <w:gridCol w:w="9581"/>
      </w:tblGrid>
      <w:tr>
        <w:tc>
          <w:tcPr>
            <w:tcW w:type="dxa" w:w="369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40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>01</w:t>
            </w:r>
          </w:p>
        </w:tc>
        <w:tc>
          <w:tcPr>
            <w:tcW w:type="dxa" w:w="9581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74" w:lineRule="auto"/>
            </w:pP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余卫东、宋明昊：《人工智能技术应用的道德风险及消解策略——基于马克思主义哲学视角》，《三峡大学学报（人文社会科学版）》2025年第47卷第6期。</w:t>
            </w:r>
          </w:p>
        </w:tc>
      </w:tr>
    </w:tbl>
    <w:tbl>
      <w:tblPr>
        <w:tblW w:type="auto" w:w="0"/>
        <w:jc w:val="left"/>
        <w:tblLayout w:type="fixed"/>
        <w:tblLook w:firstColumn="1" w:firstRow="1" w:lastColumn="0" w:lastRow="0" w:noHBand="0" w:noVBand="1" w:val="04A0"/>
      </w:tblPr>
      <w:tblGrid>
        <w:gridCol w:w="369"/>
        <w:gridCol w:w="9581"/>
      </w:tblGrid>
      <w:tr>
        <w:tc>
          <w:tcPr>
            <w:tcW w:type="dxa" w:w="369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40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>02</w:t>
            </w:r>
          </w:p>
        </w:tc>
        <w:tc>
          <w:tcPr>
            <w:tcW w:type="dxa" w:w="9581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74" w:lineRule="auto"/>
            </w:pP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胡孝红、宋明昊：《牢牢把握高校思政课课程体系创新的政治性原则》，《中国社会科学报》2020年10月29日A07版。</w:t>
            </w:r>
          </w:p>
        </w:tc>
      </w:tr>
    </w:tbl>
    <w:tbl>
      <w:tblPr>
        <w:tblW w:type="auto" w:w="0"/>
        <w:jc w:val="left"/>
        <w:tblLayout w:type="fixed"/>
        <w:tblLook w:firstColumn="1" w:firstRow="1" w:lastColumn="0" w:lastRow="0" w:noHBand="0" w:noVBand="1" w:val="04A0"/>
      </w:tblPr>
      <w:tblGrid>
        <w:gridCol w:w="369"/>
        <w:gridCol w:w="9581"/>
      </w:tblGrid>
      <w:tr>
        <w:tc>
          <w:tcPr>
            <w:tcW w:type="dxa" w:w="369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40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>03</w:t>
            </w:r>
          </w:p>
        </w:tc>
        <w:tc>
          <w:tcPr>
            <w:tcW w:type="dxa" w:w="9581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74" w:lineRule="auto"/>
            </w:pP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宋仕平、刘晓丹、宋明昊：《90后大学生政治认同：总体状况、弱化趋向及强化途径——以三峡大学为例》，《三峡大学学报（人文社会科学版）》2013年第35卷第6期。</w:t>
            </w:r>
          </w:p>
        </w:tc>
      </w:tr>
    </w:tbl>
    <w:tbl>
      <w:tblPr>
        <w:tblW w:type="auto" w:w="0"/>
        <w:jc w:val="left"/>
        <w:tblLayout w:type="fixed"/>
        <w:tblLook w:firstColumn="1" w:firstRow="1" w:lastColumn="0" w:lastRow="0" w:noHBand="0" w:noVBand="1" w:val="04A0"/>
      </w:tblPr>
      <w:tblGrid>
        <w:gridCol w:w="369"/>
        <w:gridCol w:w="9581"/>
      </w:tblGrid>
      <w:tr>
        <w:tc>
          <w:tcPr>
            <w:tcW w:type="dxa" w:w="369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40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>04</w:t>
            </w:r>
          </w:p>
        </w:tc>
        <w:tc>
          <w:tcPr>
            <w:tcW w:type="dxa" w:w="9581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74" w:lineRule="auto"/>
            </w:pP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宋明昊、宋仕平：《共产党人精神谱系彰显人民情怀》，《三峡日报》理论版，2021年9月18日。</w:t>
            </w:r>
          </w:p>
        </w:tc>
      </w:tr>
    </w:tbl>
    <w:tbl>
      <w:tblPr>
        <w:tblW w:type="auto" w:w="0"/>
        <w:jc w:val="left"/>
        <w:tblLayout w:type="fixed"/>
        <w:tblLook w:firstColumn="1" w:firstRow="1" w:lastColumn="0" w:lastRow="0" w:noHBand="0" w:noVBand="1" w:val="04A0"/>
      </w:tblPr>
      <w:tblGrid>
        <w:gridCol w:w="369"/>
        <w:gridCol w:w="9581"/>
      </w:tblGrid>
      <w:tr>
        <w:tc>
          <w:tcPr>
            <w:tcW w:type="dxa" w:w="369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40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>05</w:t>
            </w:r>
          </w:p>
        </w:tc>
        <w:tc>
          <w:tcPr>
            <w:tcW w:type="dxa" w:w="9581"/>
            <w:tcMar>
              <w:top w:w="20" w:type="dxa"/>
              <w:start w:w="0" w:type="dxa"/>
              <w:bottom w:w="35" w:type="dxa"/>
              <w:end w:w="60" w:type="dxa"/>
            </w:tcMar>
            <w:vAlign w:val="top"/>
          </w:tcPr>
          <w:p>
            <w:pPr>
              <w:spacing w:after="0" w:before="0" w:line="274" w:lineRule="auto"/>
            </w:pP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胡孝红、宋明昊：《中国特色社会主义制度是科学制度体系》，《三峡日报》理论版，2020年5月21日。</w:t>
            </w:r>
          </w:p>
        </w:tc>
      </w:tr>
    </w:tbl>
    <w:p>
      <w:r>
        <w:br w:type="page"/>
      </w:r>
    </w:p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05  </w:t>
      </w:r>
      <w:r>
        <w:rPr>
          <w:rFonts w:ascii="Microsoft YaHei" w:hAnsi="Microsoft YaHei" w:eastAsia="Microsoft YaHei"/>
          <w:b/>
          <w:color w:val="17211E"/>
          <w:sz w:val="26"/>
        </w:rPr>
        <w:t>科研项目 / RESEARCH PROJECTS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教育部人文社科专项重点课题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“改革开放40年高校思想政治理论课建设经验研究——以思想政治理论课延伸教育体系的构建为例”（18JDSZK010）｜参与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宜昌市社会科学研究课题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“宜昌市党建引领基层治理研究”（ysk20kt005）｜参与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湖北大学农村社区中心开放课题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“科技赋能下的农村社区应急研究”（013044039）｜参与</w:t>
      </w:r>
    </w:p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06  </w:t>
      </w:r>
      <w:r>
        <w:rPr>
          <w:rFonts w:ascii="Microsoft YaHei" w:hAnsi="Microsoft YaHei" w:eastAsia="Microsoft YaHei"/>
          <w:b/>
          <w:color w:val="17211E"/>
          <w:sz w:val="26"/>
        </w:rPr>
        <w:t>教学方向与课程准备 / TEACHING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课程适配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高校思想政治理论课与科技伦理专题</w:t>
      </w:r>
      <w:r>
        <w:rPr>
          <w:rFonts w:ascii="Microsoft YaHei" w:hAnsi="Microsoft YaHei" w:eastAsia="Microsoft YaHei"/>
          <w:b w:val="0"/>
          <w:color w:val="5F6863"/>
          <w:sz w:val="17"/>
        </w:rPr>
        <w:br/>
        <w:t>可承担或参与《马克思主义基本原理》《思想道德与法治》《中国近现代史纲要》《形势与政策》《习近平新时代中国特色社会主义思想概论》，以及科技伦理、工程伦理、人工智能伦理专题教学。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教学设计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问题导向 · 案例驱动 · 理论提升</w:t>
      </w:r>
      <w:r>
        <w:rPr>
          <w:rFonts w:ascii="Microsoft YaHei" w:hAnsi="Microsoft YaHei" w:eastAsia="Microsoft YaHei"/>
          <w:b w:val="0"/>
          <w:color w:val="5F6863"/>
          <w:sz w:val="17"/>
        </w:rPr>
        <w:br/>
        <w:t>面向工科学生，将人工智能、智能制造、平台经济、数字劳动和工程伦理等案例融入理论教学。</w:t>
      </w:r>
    </w:p>
    <w:p>
      <w:pPr>
        <w:spacing w:after="24" w:before="0" w:line="269" w:lineRule="auto"/>
      </w:pPr>
      <w:r>
        <w:rPr>
          <w:rFonts w:ascii="Microsoft YaHei" w:hAnsi="Microsoft YaHei" w:eastAsia="Microsoft YaHei"/>
          <w:b/>
          <w:color w:val="17211E"/>
          <w:sz w:val="18"/>
        </w:rPr>
        <w:t>试讲专题</w:t>
      </w:r>
      <w:r>
        <w:rPr>
          <w:rFonts w:ascii="Microsoft YaHei" w:hAnsi="Microsoft YaHei" w:eastAsia="Microsoft YaHei"/>
          <w:b w:val="0"/>
          <w:color w:val="697D70"/>
          <w:sz w:val="17"/>
        </w:rPr>
        <w:t xml:space="preserve">  已形成课程样例</w:t>
      </w:r>
      <w:r>
        <w:rPr>
          <w:rFonts w:ascii="Microsoft YaHei" w:hAnsi="Microsoft YaHei" w:eastAsia="Microsoft YaHei"/>
          <w:b w:val="0"/>
          <w:color w:val="5F6863"/>
          <w:sz w:val="17"/>
        </w:rPr>
        <w:br/>
        <w:t>《矛盾分析法——从人工智能的发展看马克思主义唯物辩证法》；《实践是认识发展的动力——从大模型发展看马克思主义认识论》。</w:t>
      </w:r>
    </w:p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07  </w:t>
      </w:r>
      <w:r>
        <w:rPr>
          <w:rFonts w:ascii="Microsoft YaHei" w:hAnsi="Microsoft YaHei" w:eastAsia="Microsoft YaHei"/>
          <w:b/>
          <w:color w:val="17211E"/>
          <w:sz w:val="26"/>
        </w:rPr>
        <w:t>荣誉与奖励 / HONORS</w:t>
      </w:r>
    </w:p>
    <w:tbl>
      <w:tblPr>
        <w:tblW w:type="auto" w:w="0"/>
        <w:jc w:val="left"/>
        <w:tblLayout w:type="fixed"/>
        <w:tblLook w:firstColumn="1" w:firstRow="1" w:lastColumn="0" w:lastRow="0" w:noHBand="0" w:noVBand="1" w:val="04A0"/>
      </w:tblPr>
      <w:tblGrid>
        <w:gridCol w:w="5074"/>
        <w:gridCol w:w="5074"/>
      </w:tblGrid>
      <w:tr>
        <w:tc>
          <w:tcPr>
            <w:tcW w:type="dxa" w:w="5074"/>
            <w:tcMar>
              <w:top w:w="35" w:type="dxa"/>
              <w:start w:w="0" w:type="dxa"/>
              <w:bottom w:w="35" w:type="dxa"/>
              <w:end w:w="120" w:type="dxa"/>
            </w:tcMar>
          </w:tcPr>
          <w:p>
            <w:pPr>
              <w:spacing w:after="0" w:before="0" w:line="264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 xml:space="preserve">2022—2024  </w:t>
            </w: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博士研究生学业奖学金（连续）</w:t>
            </w:r>
          </w:p>
        </w:tc>
        <w:tc>
          <w:tcPr>
            <w:tcW w:type="dxa" w:w="5074"/>
            <w:tcMar>
              <w:top w:w="35" w:type="dxa"/>
              <w:start w:w="0" w:type="dxa"/>
              <w:bottom w:w="35" w:type="dxa"/>
              <w:end w:w="120" w:type="dxa"/>
            </w:tcMar>
          </w:tcPr>
          <w:p>
            <w:pPr>
              <w:spacing w:after="0" w:before="0" w:line="264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 xml:space="preserve">2021  </w:t>
            </w: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硕士研究生国家奖学金</w:t>
            </w:r>
          </w:p>
        </w:tc>
      </w:tr>
      <w:tr>
        <w:tc>
          <w:tcPr>
            <w:tcW w:type="dxa" w:w="5074"/>
            <w:tcMar>
              <w:top w:w="35" w:type="dxa"/>
              <w:start w:w="0" w:type="dxa"/>
              <w:bottom w:w="35" w:type="dxa"/>
              <w:end w:w="120" w:type="dxa"/>
            </w:tcMar>
          </w:tcPr>
          <w:p>
            <w:pPr>
              <w:spacing w:after="0" w:before="0" w:line="264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 xml:space="preserve">2019—2021  </w:t>
            </w: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三峡大学研究生学业奖学金一等奖（连续）</w:t>
            </w:r>
          </w:p>
        </w:tc>
        <w:tc>
          <w:tcPr>
            <w:tcW w:type="dxa" w:w="5074"/>
            <w:tcMar>
              <w:top w:w="35" w:type="dxa"/>
              <w:start w:w="0" w:type="dxa"/>
              <w:bottom w:w="35" w:type="dxa"/>
              <w:end w:w="120" w:type="dxa"/>
            </w:tcMar>
          </w:tcPr>
          <w:p>
            <w:pPr>
              <w:spacing w:after="0" w:before="0" w:line="264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 xml:space="preserve">2022  </w:t>
            </w: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三峡大学优秀毕业研究生</w:t>
            </w:r>
          </w:p>
        </w:tc>
      </w:tr>
      <w:tr>
        <w:tc>
          <w:tcPr>
            <w:tcW w:type="dxa" w:w="5074"/>
            <w:tcMar>
              <w:top w:w="35" w:type="dxa"/>
              <w:start w:w="0" w:type="dxa"/>
              <w:bottom w:w="35" w:type="dxa"/>
              <w:end w:w="120" w:type="dxa"/>
            </w:tcMar>
          </w:tcPr>
          <w:p>
            <w:pPr>
              <w:spacing w:after="0" w:before="0" w:line="264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 xml:space="preserve">2022  </w:t>
            </w: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三峡大学马克思主义学院优秀毕业生</w:t>
            </w:r>
          </w:p>
        </w:tc>
        <w:tc>
          <w:tcPr>
            <w:tcW w:type="dxa" w:w="5074"/>
            <w:tcMar>
              <w:top w:w="35" w:type="dxa"/>
              <w:start w:w="0" w:type="dxa"/>
              <w:bottom w:w="35" w:type="dxa"/>
              <w:end w:w="120" w:type="dxa"/>
            </w:tcMar>
          </w:tcPr>
          <w:p>
            <w:pPr>
              <w:spacing w:after="0" w:before="0" w:line="264" w:lineRule="auto"/>
            </w:pPr>
            <w:r>
              <w:rPr>
                <w:rFonts w:ascii="Arial" w:hAnsi="Arial" w:eastAsia="Arial"/>
                <w:b/>
                <w:color w:val="A4482D"/>
                <w:sz w:val="15"/>
              </w:rPr>
              <w:t xml:space="preserve">2020—2021  </w:t>
            </w:r>
            <w:r>
              <w:rPr>
                <w:rFonts w:ascii="Microsoft YaHei" w:hAnsi="Microsoft YaHei" w:eastAsia="Microsoft YaHei"/>
                <w:b w:val="0"/>
                <w:color w:val="17211E"/>
                <w:sz w:val="17"/>
              </w:rPr>
              <w:t>三峡大学马克思主义学院优秀共青团员</w:t>
            </w:r>
          </w:p>
        </w:tc>
      </w:tr>
    </w:tbl>
    <w:p>
      <w:pPr>
        <w:keepNext/>
        <w:spacing w:after="100" w:before="140" w:line="240" w:lineRule="auto"/>
        <w:pBdr>
          <w:bottom w:val="single" w:sz="7" w:space="4" w:color="CFC9BE"/>
        </w:pBdr>
      </w:pPr>
      <w:r>
        <w:rPr>
          <w:rFonts w:ascii="Arial" w:hAnsi="Arial" w:eastAsia="Arial"/>
          <w:b/>
          <w:color w:val="A4482D"/>
          <w:sz w:val="17"/>
        </w:rPr>
        <w:t xml:space="preserve">08  </w:t>
      </w:r>
      <w:r>
        <w:rPr>
          <w:rFonts w:ascii="Microsoft YaHei" w:hAnsi="Microsoft YaHei" w:eastAsia="Microsoft YaHei"/>
          <w:b/>
          <w:color w:val="17211E"/>
          <w:sz w:val="26"/>
        </w:rPr>
        <w:t>实践经历与能力 / EXPERIENCE &amp; SKILLS</w:t>
      </w:r>
    </w:p>
    <w:p>
      <w:pPr>
        <w:spacing w:after="40" w:before="0" w:line="302" w:lineRule="auto"/>
      </w:pPr>
      <w:r>
        <w:rPr>
          <w:rFonts w:ascii="Microsoft YaHei" w:hAnsi="Microsoft YaHei" w:eastAsia="Microsoft YaHei"/>
          <w:b/>
          <w:color w:val="17211E"/>
          <w:sz w:val="17"/>
        </w:rPr>
        <w:t xml:space="preserve">实践经历  </w:t>
      </w:r>
      <w:r>
        <w:rPr>
          <w:rFonts w:ascii="Microsoft YaHei" w:hAnsi="Microsoft YaHei" w:eastAsia="Microsoft YaHei"/>
          <w:b w:val="0"/>
          <w:color w:val="5F6863"/>
          <w:sz w:val="17"/>
        </w:rPr>
        <w:t>上海市徐汇区疫情防控志愿服务；上海师范大学财务处暑期挂职；国泰人寿总部管理培训生；金浦产业投资基金实习。</w:t>
      </w:r>
    </w:p>
    <w:p>
      <w:pPr>
        <w:spacing w:after="20" w:before="0" w:line="302" w:lineRule="auto"/>
      </w:pPr>
      <w:r>
        <w:rPr>
          <w:rFonts w:ascii="Microsoft YaHei" w:hAnsi="Microsoft YaHei" w:eastAsia="Microsoft YaHei"/>
          <w:b/>
          <w:color w:val="17211E"/>
          <w:sz w:val="17"/>
        </w:rPr>
        <w:t xml:space="preserve">语言与技能  </w:t>
      </w:r>
      <w:r>
        <w:rPr>
          <w:rFonts w:ascii="Microsoft YaHei" w:hAnsi="Microsoft YaHei" w:eastAsia="Microsoft YaHei"/>
          <w:b w:val="0"/>
          <w:color w:val="5F6863"/>
          <w:sz w:val="17"/>
        </w:rPr>
        <w:t>大学英语六级（CET-6）；普通话二级甲等；上海市高校计算机等级考试。</w:t>
      </w:r>
    </w:p>
    <w:sectPr w:rsidR="00FC693F" w:rsidRPr="0006063C" w:rsidSect="00034616">
      <w:footerReference w:type="default" r:id="rId10"/>
      <w:pgSz w:w="11906" w:h="16838"/>
      <w:pgMar w:top="709" w:right="879" w:bottom="709" w:left="87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spacing w:after="0" w:before="0" w:line="240" w:lineRule="auto"/>
      <w:jc w:val="center"/>
    </w:pPr>
    <w:r>
      <w:rPr>
        <w:rFonts w:ascii="Microsoft YaHei" w:hAnsi="Microsoft YaHei" w:eastAsia="Microsoft YaHei"/>
        <w:b w:val="0"/>
        <w:color w:val="5F6863"/>
        <w:sz w:val="14"/>
      </w:rPr>
      <w:t>宋明昊 · 公开版学术简历 · 更新于 2026 年 7 月 · kingsleysong@foxmail.com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Microsoft YaHei" w:hAnsi="Microsoft YaHei" w:eastAsia="Microsoft YaHei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宋明昊｜学术简历（公开版）</dc:title>
  <dc:subject>公开版学术简历</dc:subject>
  <dc:creator>宋明昊</dc:creator>
  <cp:keywords>宋明昊, 学术简历, 马克思主义哲学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